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82350" w14:textId="77777777" w:rsidR="009906F1" w:rsidRPr="009906F1" w:rsidRDefault="009906F1" w:rsidP="009906F1">
      <w:pPr>
        <w:jc w:val="center"/>
        <w:rPr>
          <w:rFonts w:ascii="Times New Roman" w:hAnsi="Times New Roman" w:cs="Times New Roman"/>
          <w:b/>
          <w:bCs/>
          <w:sz w:val="28"/>
          <w:szCs w:val="28"/>
        </w:rPr>
      </w:pPr>
      <w:r w:rsidRPr="009906F1">
        <w:rPr>
          <w:rFonts w:ascii="Times New Roman" w:hAnsi="Times New Roman" w:cs="Times New Roman"/>
          <w:b/>
          <w:bCs/>
          <w:sz w:val="28"/>
          <w:szCs w:val="28"/>
        </w:rPr>
        <w:t>BANCO CENTRAL DESACATA SENTENCIA QUE ADQUIRIÓ LA COSA IRREVOCABLEMENTE JUZGADA</w:t>
      </w:r>
    </w:p>
    <w:p w14:paraId="1C4F879C" w14:textId="77777777" w:rsidR="009906F1" w:rsidRPr="009906F1" w:rsidRDefault="009906F1" w:rsidP="009906F1">
      <w:pPr>
        <w:jc w:val="both"/>
        <w:rPr>
          <w:rFonts w:ascii="Times New Roman" w:hAnsi="Times New Roman" w:cs="Times New Roman"/>
          <w:sz w:val="26"/>
          <w:szCs w:val="26"/>
        </w:rPr>
      </w:pPr>
      <w:r w:rsidRPr="009906F1">
        <w:rPr>
          <w:rFonts w:ascii="Times New Roman" w:hAnsi="Times New Roman" w:cs="Times New Roman"/>
          <w:sz w:val="26"/>
          <w:szCs w:val="26"/>
        </w:rPr>
        <w:t> </w:t>
      </w:r>
    </w:p>
    <w:p w14:paraId="32123374" w14:textId="77777777" w:rsidR="009906F1" w:rsidRPr="009906F1" w:rsidRDefault="009906F1" w:rsidP="009906F1">
      <w:pPr>
        <w:jc w:val="center"/>
        <w:rPr>
          <w:rFonts w:ascii="Times New Roman" w:hAnsi="Times New Roman" w:cs="Times New Roman"/>
          <w:b/>
          <w:bCs/>
          <w:sz w:val="26"/>
          <w:szCs w:val="26"/>
        </w:rPr>
      </w:pPr>
      <w:r w:rsidRPr="009906F1">
        <w:rPr>
          <w:rFonts w:ascii="Times New Roman" w:hAnsi="Times New Roman" w:cs="Times New Roman"/>
          <w:b/>
          <w:bCs/>
          <w:i/>
          <w:iCs/>
          <w:sz w:val="26"/>
          <w:szCs w:val="26"/>
        </w:rPr>
        <w:t>Embargan cuentas ante organismos crediticios internacionales FMI, BM y BID, Novena sala civil conocerá la validez</w:t>
      </w:r>
    </w:p>
    <w:p w14:paraId="7F4CC36D" w14:textId="77777777" w:rsidR="009906F1" w:rsidRPr="009906F1" w:rsidRDefault="009906F1" w:rsidP="009906F1">
      <w:pPr>
        <w:jc w:val="both"/>
        <w:rPr>
          <w:rFonts w:ascii="Times New Roman" w:hAnsi="Times New Roman" w:cs="Times New Roman"/>
          <w:sz w:val="26"/>
          <w:szCs w:val="26"/>
        </w:rPr>
      </w:pPr>
      <w:r w:rsidRPr="009906F1">
        <w:rPr>
          <w:rFonts w:ascii="Times New Roman" w:hAnsi="Times New Roman" w:cs="Times New Roman"/>
          <w:sz w:val="26"/>
          <w:szCs w:val="26"/>
        </w:rPr>
        <w:t> </w:t>
      </w:r>
    </w:p>
    <w:p w14:paraId="3EF22814" w14:textId="77777777" w:rsidR="009906F1" w:rsidRPr="009906F1" w:rsidRDefault="009906F1" w:rsidP="009906F1">
      <w:pPr>
        <w:jc w:val="both"/>
        <w:rPr>
          <w:rFonts w:ascii="Times New Roman" w:hAnsi="Times New Roman" w:cs="Times New Roman"/>
          <w:sz w:val="26"/>
          <w:szCs w:val="26"/>
        </w:rPr>
      </w:pPr>
      <w:r w:rsidRPr="009906F1">
        <w:rPr>
          <w:rFonts w:ascii="Times New Roman" w:hAnsi="Times New Roman" w:cs="Times New Roman"/>
          <w:sz w:val="26"/>
          <w:szCs w:val="26"/>
        </w:rPr>
        <w:t xml:space="preserve">El Banco Central de la República Dominicana (BCRD) desacató una sentencia de la Segunda Sala Civil y Comercial del Distrito Nacional que se convirtió en definitiva porque adquirió la cosa irrevocablemente juzgada que lo condena al pago de una deuda de 5 millones de dólares al Consorcio </w:t>
      </w:r>
      <w:proofErr w:type="spellStart"/>
      <w:r w:rsidRPr="009906F1">
        <w:rPr>
          <w:rFonts w:ascii="Times New Roman" w:hAnsi="Times New Roman" w:cs="Times New Roman"/>
          <w:sz w:val="26"/>
          <w:szCs w:val="26"/>
        </w:rPr>
        <w:t>Mendes</w:t>
      </w:r>
      <w:proofErr w:type="spellEnd"/>
      <w:r w:rsidRPr="009906F1">
        <w:rPr>
          <w:rFonts w:ascii="Times New Roman" w:hAnsi="Times New Roman" w:cs="Times New Roman"/>
          <w:sz w:val="26"/>
          <w:szCs w:val="26"/>
        </w:rPr>
        <w:t xml:space="preserve"> Junior-</w:t>
      </w:r>
      <w:proofErr w:type="spellStart"/>
      <w:r w:rsidRPr="009906F1">
        <w:rPr>
          <w:rFonts w:ascii="Times New Roman" w:hAnsi="Times New Roman" w:cs="Times New Roman"/>
          <w:sz w:val="26"/>
          <w:szCs w:val="26"/>
        </w:rPr>
        <w:t>Mendez</w:t>
      </w:r>
      <w:proofErr w:type="spellEnd"/>
      <w:r w:rsidRPr="009906F1">
        <w:rPr>
          <w:rFonts w:ascii="Times New Roman" w:hAnsi="Times New Roman" w:cs="Times New Roman"/>
          <w:sz w:val="26"/>
          <w:szCs w:val="26"/>
        </w:rPr>
        <w:t xml:space="preserve"> Cabral, afectando así el Estado derecho y poniendo en juego la seguridad jurídica del país.  </w:t>
      </w:r>
    </w:p>
    <w:p w14:paraId="6AF86E4A" w14:textId="77777777" w:rsidR="009906F1" w:rsidRPr="009906F1" w:rsidRDefault="009906F1" w:rsidP="009906F1">
      <w:pPr>
        <w:jc w:val="both"/>
        <w:rPr>
          <w:rFonts w:ascii="Times New Roman" w:hAnsi="Times New Roman" w:cs="Times New Roman"/>
          <w:sz w:val="26"/>
          <w:szCs w:val="26"/>
        </w:rPr>
      </w:pPr>
      <w:r w:rsidRPr="009906F1">
        <w:rPr>
          <w:rFonts w:ascii="Times New Roman" w:hAnsi="Times New Roman" w:cs="Times New Roman"/>
          <w:sz w:val="26"/>
          <w:szCs w:val="26"/>
        </w:rPr>
        <w:t> </w:t>
      </w:r>
    </w:p>
    <w:p w14:paraId="57AC03B8" w14:textId="77777777" w:rsidR="009906F1" w:rsidRPr="009906F1" w:rsidRDefault="009906F1" w:rsidP="009906F1">
      <w:pPr>
        <w:jc w:val="both"/>
        <w:rPr>
          <w:rFonts w:ascii="Times New Roman" w:hAnsi="Times New Roman" w:cs="Times New Roman"/>
          <w:sz w:val="26"/>
          <w:szCs w:val="26"/>
        </w:rPr>
      </w:pPr>
      <w:r w:rsidRPr="009906F1">
        <w:rPr>
          <w:rFonts w:ascii="Times New Roman" w:hAnsi="Times New Roman" w:cs="Times New Roman"/>
          <w:sz w:val="26"/>
          <w:szCs w:val="26"/>
        </w:rPr>
        <w:t>Ante esa actitud del Banco Central de desacatar una decisión definitiva conforme a la Ley de Casación, hemos procedido a embargar al Banco Central de la República Dominicana en todas las instituciones financieras y de intermediación que existen en la República Dominicana, así como el Fondo Monetario Internacional (FMI), el Banco Mundial, el Banco Interamericano de Desarrollo y todas las entidades que tienen que ver con los préstamos hacia la República Dominicana.</w:t>
      </w:r>
    </w:p>
    <w:p w14:paraId="7D1786FA" w14:textId="77777777" w:rsidR="009906F1" w:rsidRPr="009906F1" w:rsidRDefault="009906F1" w:rsidP="009906F1">
      <w:pPr>
        <w:jc w:val="both"/>
        <w:rPr>
          <w:rFonts w:ascii="Times New Roman" w:hAnsi="Times New Roman" w:cs="Times New Roman"/>
          <w:sz w:val="26"/>
          <w:szCs w:val="26"/>
        </w:rPr>
      </w:pPr>
      <w:r w:rsidRPr="009906F1">
        <w:rPr>
          <w:rFonts w:ascii="Times New Roman" w:hAnsi="Times New Roman" w:cs="Times New Roman"/>
          <w:sz w:val="26"/>
          <w:szCs w:val="26"/>
        </w:rPr>
        <w:t> </w:t>
      </w:r>
    </w:p>
    <w:p w14:paraId="0AA21C8F" w14:textId="77777777" w:rsidR="009906F1" w:rsidRPr="009906F1" w:rsidRDefault="009906F1" w:rsidP="009906F1">
      <w:pPr>
        <w:jc w:val="both"/>
        <w:rPr>
          <w:rFonts w:ascii="Times New Roman" w:hAnsi="Times New Roman" w:cs="Times New Roman"/>
          <w:sz w:val="26"/>
          <w:szCs w:val="26"/>
        </w:rPr>
      </w:pPr>
      <w:r w:rsidRPr="009906F1">
        <w:rPr>
          <w:rFonts w:ascii="Times New Roman" w:hAnsi="Times New Roman" w:cs="Times New Roman"/>
          <w:sz w:val="26"/>
          <w:szCs w:val="26"/>
        </w:rPr>
        <w:t>La Novena Sala Civil fijó para el día 28 de septiembre, la validez del embargo. “Vamos a conocer la validez del embargo retentivo trabado en manos del Banco Mundial, FMI, Banco Interamericano de Desarrollo y todas esas entidades”.</w:t>
      </w:r>
    </w:p>
    <w:p w14:paraId="082E579E" w14:textId="77777777" w:rsidR="009906F1" w:rsidRPr="009906F1" w:rsidRDefault="009906F1" w:rsidP="009906F1">
      <w:pPr>
        <w:jc w:val="both"/>
        <w:rPr>
          <w:rFonts w:ascii="Times New Roman" w:hAnsi="Times New Roman" w:cs="Times New Roman"/>
          <w:sz w:val="26"/>
          <w:szCs w:val="26"/>
        </w:rPr>
      </w:pPr>
      <w:r w:rsidRPr="009906F1">
        <w:rPr>
          <w:rFonts w:ascii="Times New Roman" w:hAnsi="Times New Roman" w:cs="Times New Roman"/>
          <w:sz w:val="26"/>
          <w:szCs w:val="26"/>
        </w:rPr>
        <w:t> </w:t>
      </w:r>
    </w:p>
    <w:p w14:paraId="74E40EAE" w14:textId="77777777" w:rsidR="009906F1" w:rsidRPr="009906F1" w:rsidRDefault="009906F1" w:rsidP="009906F1">
      <w:pPr>
        <w:jc w:val="both"/>
        <w:rPr>
          <w:rFonts w:ascii="Times New Roman" w:hAnsi="Times New Roman" w:cs="Times New Roman"/>
          <w:sz w:val="26"/>
          <w:szCs w:val="26"/>
        </w:rPr>
      </w:pPr>
      <w:r w:rsidRPr="009906F1">
        <w:rPr>
          <w:rFonts w:ascii="Times New Roman" w:hAnsi="Times New Roman" w:cs="Times New Roman"/>
          <w:sz w:val="26"/>
          <w:szCs w:val="26"/>
        </w:rPr>
        <w:t>El doctor Jorge Lora Castillo dijo que, si el BCRD persiste en la actitud esa actitud de desacatar decisiones definitivas de los tribunales de la República, “estamos estudiando proceder al sometimiento penal conforme al nuevo Código Procesal Penal y al nuevo Código Penal contra el gobernador del Banco Central Héctor Valdez Albizu y la Junta Monetaria.</w:t>
      </w:r>
    </w:p>
    <w:p w14:paraId="6C141195" w14:textId="77777777" w:rsidR="009906F1" w:rsidRPr="009906F1" w:rsidRDefault="009906F1" w:rsidP="009906F1">
      <w:pPr>
        <w:jc w:val="both"/>
        <w:rPr>
          <w:rFonts w:ascii="Times New Roman" w:hAnsi="Times New Roman" w:cs="Times New Roman"/>
          <w:sz w:val="26"/>
          <w:szCs w:val="26"/>
        </w:rPr>
      </w:pPr>
      <w:r w:rsidRPr="009906F1">
        <w:rPr>
          <w:rFonts w:ascii="Times New Roman" w:hAnsi="Times New Roman" w:cs="Times New Roman"/>
          <w:sz w:val="26"/>
          <w:szCs w:val="26"/>
        </w:rPr>
        <w:t> </w:t>
      </w:r>
    </w:p>
    <w:p w14:paraId="58F38261" w14:textId="77777777" w:rsidR="009906F1" w:rsidRPr="009906F1" w:rsidRDefault="009906F1" w:rsidP="009906F1">
      <w:pPr>
        <w:jc w:val="both"/>
        <w:rPr>
          <w:rFonts w:ascii="Times New Roman" w:hAnsi="Times New Roman" w:cs="Times New Roman"/>
          <w:sz w:val="26"/>
          <w:szCs w:val="26"/>
        </w:rPr>
      </w:pPr>
      <w:r w:rsidRPr="009906F1">
        <w:rPr>
          <w:rFonts w:ascii="Times New Roman" w:hAnsi="Times New Roman" w:cs="Times New Roman"/>
          <w:sz w:val="26"/>
          <w:szCs w:val="26"/>
        </w:rPr>
        <w:t xml:space="preserve">La Segunda Sala de la Cámara Civil y Comercial de la Corte de Apelación del Distrito Nacional condenó al Banco Central de la República Dominicana (BCRD) al pago de 5 millones de dólares de los Estados Unidos o su equivalente en pesos por apropiarse de un inmueble ubicado en los terrenos del antiguo aeropuerto de Herrera que fueron entregados al Consorcio Mandes Junior-Méndez Cabral en dación de pago. </w:t>
      </w:r>
    </w:p>
    <w:p w14:paraId="10DDA9D1" w14:textId="77777777" w:rsidR="009906F1" w:rsidRPr="009906F1" w:rsidRDefault="009906F1" w:rsidP="009906F1">
      <w:pPr>
        <w:jc w:val="both"/>
        <w:rPr>
          <w:rFonts w:ascii="Times New Roman" w:hAnsi="Times New Roman" w:cs="Times New Roman"/>
          <w:sz w:val="26"/>
          <w:szCs w:val="26"/>
        </w:rPr>
      </w:pPr>
      <w:r w:rsidRPr="009906F1">
        <w:rPr>
          <w:rFonts w:ascii="Times New Roman" w:hAnsi="Times New Roman" w:cs="Times New Roman"/>
          <w:sz w:val="26"/>
          <w:szCs w:val="26"/>
        </w:rPr>
        <w:lastRenderedPageBreak/>
        <w:t> </w:t>
      </w:r>
    </w:p>
    <w:p w14:paraId="22C883F4" w14:textId="77777777" w:rsidR="009906F1" w:rsidRPr="009906F1" w:rsidRDefault="009906F1" w:rsidP="009906F1">
      <w:pPr>
        <w:jc w:val="both"/>
        <w:rPr>
          <w:rFonts w:ascii="Times New Roman" w:hAnsi="Times New Roman" w:cs="Times New Roman"/>
          <w:sz w:val="26"/>
          <w:szCs w:val="26"/>
        </w:rPr>
      </w:pPr>
      <w:r w:rsidRPr="009906F1">
        <w:rPr>
          <w:rFonts w:ascii="Times New Roman" w:hAnsi="Times New Roman" w:cs="Times New Roman"/>
          <w:sz w:val="26"/>
          <w:szCs w:val="26"/>
        </w:rPr>
        <w:t>“Se trata de una condenación ya definitiva, con autoridad de la cosa irrevocablemente juzgada, dictada por la Segunda Sala de la Cámara Penal de la Corte de Apelación del Distrito Nacional”, dijo Lora Castillo</w:t>
      </w:r>
    </w:p>
    <w:p w14:paraId="017AF6FE" w14:textId="77777777" w:rsidR="009906F1" w:rsidRPr="009906F1" w:rsidRDefault="009906F1" w:rsidP="009906F1">
      <w:pPr>
        <w:jc w:val="both"/>
        <w:rPr>
          <w:rFonts w:ascii="Times New Roman" w:hAnsi="Times New Roman" w:cs="Times New Roman"/>
          <w:sz w:val="26"/>
          <w:szCs w:val="26"/>
        </w:rPr>
      </w:pPr>
      <w:r w:rsidRPr="009906F1">
        <w:rPr>
          <w:rFonts w:ascii="Times New Roman" w:hAnsi="Times New Roman" w:cs="Times New Roman"/>
          <w:sz w:val="26"/>
          <w:szCs w:val="26"/>
        </w:rPr>
        <w:t> </w:t>
      </w:r>
    </w:p>
    <w:p w14:paraId="65622F76" w14:textId="77777777" w:rsidR="009906F1" w:rsidRPr="009906F1" w:rsidRDefault="009906F1" w:rsidP="009906F1">
      <w:pPr>
        <w:jc w:val="both"/>
        <w:rPr>
          <w:rFonts w:ascii="Times New Roman" w:hAnsi="Times New Roman" w:cs="Times New Roman"/>
          <w:sz w:val="26"/>
          <w:szCs w:val="26"/>
        </w:rPr>
      </w:pPr>
      <w:r w:rsidRPr="009906F1">
        <w:rPr>
          <w:rFonts w:ascii="Times New Roman" w:hAnsi="Times New Roman" w:cs="Times New Roman"/>
          <w:sz w:val="26"/>
          <w:szCs w:val="26"/>
        </w:rPr>
        <w:t>“Después de 22 años peleando en los tribunales de la República, todavía nuestros representados no tienen una solución sobre la base de que el Banco Central se entiende por encima de la ley y por encima del derecho”.</w:t>
      </w:r>
    </w:p>
    <w:p w14:paraId="02C39CC3" w14:textId="77777777" w:rsidR="009906F1" w:rsidRPr="009906F1" w:rsidRDefault="009906F1" w:rsidP="009906F1">
      <w:pPr>
        <w:jc w:val="both"/>
        <w:rPr>
          <w:rFonts w:ascii="Times New Roman" w:hAnsi="Times New Roman" w:cs="Times New Roman"/>
          <w:sz w:val="26"/>
          <w:szCs w:val="26"/>
        </w:rPr>
      </w:pPr>
      <w:r w:rsidRPr="009906F1">
        <w:rPr>
          <w:rFonts w:ascii="Times New Roman" w:hAnsi="Times New Roman" w:cs="Times New Roman"/>
          <w:sz w:val="26"/>
          <w:szCs w:val="26"/>
        </w:rPr>
        <w:t> </w:t>
      </w:r>
    </w:p>
    <w:p w14:paraId="25618A15" w14:textId="77777777" w:rsidR="009906F1" w:rsidRPr="009906F1" w:rsidRDefault="009906F1" w:rsidP="009906F1">
      <w:pPr>
        <w:jc w:val="both"/>
        <w:rPr>
          <w:rFonts w:ascii="Times New Roman" w:hAnsi="Times New Roman" w:cs="Times New Roman"/>
          <w:sz w:val="26"/>
          <w:szCs w:val="26"/>
        </w:rPr>
      </w:pPr>
      <w:r w:rsidRPr="009906F1">
        <w:rPr>
          <w:rFonts w:ascii="Times New Roman" w:hAnsi="Times New Roman" w:cs="Times New Roman"/>
          <w:sz w:val="26"/>
          <w:szCs w:val="26"/>
        </w:rPr>
        <w:t>Dijo que su representado fue beneficiado con 5,000 metros cuadrados de los terrenos  donde operaba el antiguo  Aeropuerto de Herrera en dación de pago por los trabajos realizados  en la ampliación de la Autopista Duarte y cuando fue a buscar sus metros, que hizo solicitud de deslinde, de catastro, agrimensor y todo eso, se dio cuenta de que el Banco Central ya había repartido entre los que nosotros decimos sus ingenieros favoritos, porque tenían ingenieros favoritos, la totalidad de los terrenos de nuestro representado.</w:t>
      </w:r>
    </w:p>
    <w:p w14:paraId="29FB05AC" w14:textId="77777777" w:rsidR="009906F1" w:rsidRPr="009906F1" w:rsidRDefault="009906F1" w:rsidP="009906F1">
      <w:pPr>
        <w:jc w:val="both"/>
        <w:rPr>
          <w:rFonts w:ascii="Times New Roman" w:hAnsi="Times New Roman" w:cs="Times New Roman"/>
          <w:sz w:val="26"/>
          <w:szCs w:val="26"/>
        </w:rPr>
      </w:pPr>
      <w:r w:rsidRPr="009906F1">
        <w:rPr>
          <w:rFonts w:ascii="Times New Roman" w:hAnsi="Times New Roman" w:cs="Times New Roman"/>
          <w:sz w:val="26"/>
          <w:szCs w:val="26"/>
        </w:rPr>
        <w:t> </w:t>
      </w:r>
    </w:p>
    <w:p w14:paraId="1E157140" w14:textId="77777777" w:rsidR="009906F1" w:rsidRPr="009906F1" w:rsidRDefault="009906F1" w:rsidP="009906F1">
      <w:pPr>
        <w:jc w:val="both"/>
        <w:rPr>
          <w:rFonts w:ascii="Times New Roman" w:hAnsi="Times New Roman" w:cs="Times New Roman"/>
          <w:sz w:val="26"/>
          <w:szCs w:val="26"/>
        </w:rPr>
      </w:pPr>
      <w:r w:rsidRPr="009906F1">
        <w:rPr>
          <w:rFonts w:ascii="Times New Roman" w:hAnsi="Times New Roman" w:cs="Times New Roman"/>
          <w:sz w:val="26"/>
          <w:szCs w:val="26"/>
        </w:rPr>
        <w:t>Indicó que, ante esa situación, demandaron judicialmente la rescisión del contrato de compraventa de dación en pago y fuimos beneficiados ya por fin con una decisión definitiva el día 13 de agosto 2026. “A pesar de todo esto, el Banco Central persiste en su actitud negativa de resolver un problema que ya la justicia ha definido a favor de nuestro representado”.</w:t>
      </w:r>
    </w:p>
    <w:p w14:paraId="37A66EF4" w14:textId="77777777" w:rsidR="009906F1" w:rsidRPr="009906F1" w:rsidRDefault="009906F1" w:rsidP="009906F1">
      <w:pPr>
        <w:jc w:val="both"/>
        <w:rPr>
          <w:rFonts w:ascii="Times New Roman" w:hAnsi="Times New Roman" w:cs="Times New Roman"/>
          <w:sz w:val="26"/>
          <w:szCs w:val="26"/>
        </w:rPr>
      </w:pPr>
      <w:r w:rsidRPr="009906F1">
        <w:rPr>
          <w:rFonts w:ascii="Times New Roman" w:hAnsi="Times New Roman" w:cs="Times New Roman"/>
          <w:sz w:val="26"/>
          <w:szCs w:val="26"/>
        </w:rPr>
        <w:t> </w:t>
      </w:r>
    </w:p>
    <w:p w14:paraId="06FB6428" w14:textId="77777777" w:rsidR="009906F1" w:rsidRPr="009906F1" w:rsidRDefault="009906F1" w:rsidP="009906F1">
      <w:pPr>
        <w:jc w:val="both"/>
        <w:rPr>
          <w:rFonts w:ascii="Times New Roman" w:hAnsi="Times New Roman" w:cs="Times New Roman"/>
          <w:sz w:val="26"/>
          <w:szCs w:val="26"/>
        </w:rPr>
      </w:pPr>
      <w:r w:rsidRPr="009906F1">
        <w:rPr>
          <w:rFonts w:ascii="Times New Roman" w:hAnsi="Times New Roman" w:cs="Times New Roman"/>
          <w:sz w:val="26"/>
          <w:szCs w:val="26"/>
        </w:rPr>
        <w:t>No obstante, la ley 2-23, sobre Procedimiento de Casación, establecer que la sentencia dictada por la SEGUNDA SALA de la Cámara de lo Civil y Comercial de la Corte de Apelación del Distrito Nacional, de fecha 13 de agosto del 2026, no es susceptible de ningún recurso, en virtud de que falló conforme al mandato establecido en el envío realizado por la SUPREMA CORTE DE JUSTICIA, el BANCO CENTRAL, persiste en un inexplicable, obtusa e ilegal actitud de DESACATAR fallos definitivos, (Siempre entendiéndose por encima de la ley e intocable).</w:t>
      </w:r>
    </w:p>
    <w:p w14:paraId="753DFA04" w14:textId="77777777" w:rsidR="009906F1" w:rsidRPr="009906F1" w:rsidRDefault="009906F1" w:rsidP="009906F1">
      <w:pPr>
        <w:jc w:val="both"/>
        <w:rPr>
          <w:rFonts w:ascii="Times New Roman" w:hAnsi="Times New Roman" w:cs="Times New Roman"/>
          <w:sz w:val="26"/>
          <w:szCs w:val="26"/>
        </w:rPr>
      </w:pPr>
      <w:r w:rsidRPr="009906F1">
        <w:rPr>
          <w:rFonts w:ascii="Times New Roman" w:hAnsi="Times New Roman" w:cs="Times New Roman"/>
          <w:sz w:val="26"/>
          <w:szCs w:val="26"/>
        </w:rPr>
        <w:t> </w:t>
      </w:r>
    </w:p>
    <w:p w14:paraId="65AD6117" w14:textId="77777777" w:rsidR="009906F1" w:rsidRPr="009906F1" w:rsidRDefault="009906F1" w:rsidP="009906F1">
      <w:pPr>
        <w:jc w:val="both"/>
        <w:rPr>
          <w:rFonts w:ascii="Times New Roman" w:hAnsi="Times New Roman" w:cs="Times New Roman"/>
          <w:sz w:val="26"/>
          <w:szCs w:val="26"/>
        </w:rPr>
      </w:pPr>
      <w:r w:rsidRPr="009906F1">
        <w:rPr>
          <w:rFonts w:ascii="Times New Roman" w:hAnsi="Times New Roman" w:cs="Times New Roman"/>
          <w:sz w:val="26"/>
          <w:szCs w:val="26"/>
        </w:rPr>
        <w:t xml:space="preserve">Los jueces Matías Modesto Del Rosario, juez presidente; </w:t>
      </w:r>
      <w:proofErr w:type="spellStart"/>
      <w:r w:rsidRPr="009906F1">
        <w:rPr>
          <w:rFonts w:ascii="Times New Roman" w:hAnsi="Times New Roman" w:cs="Times New Roman"/>
          <w:sz w:val="26"/>
          <w:szCs w:val="26"/>
        </w:rPr>
        <w:t>Ynés</w:t>
      </w:r>
      <w:proofErr w:type="spellEnd"/>
      <w:r w:rsidRPr="009906F1">
        <w:rPr>
          <w:rFonts w:ascii="Times New Roman" w:hAnsi="Times New Roman" w:cs="Times New Roman"/>
          <w:sz w:val="26"/>
          <w:szCs w:val="26"/>
        </w:rPr>
        <w:t xml:space="preserve"> A. De Peña Ventura, Jorge Luis Reyes Lara y Pricila Martínez Tineo, también condenaron al banco al pago de las costas de procedimientos en favor y provecho del doctor Jorge Lora Castillo.</w:t>
      </w:r>
    </w:p>
    <w:p w14:paraId="47729016" w14:textId="77777777" w:rsidR="009906F1" w:rsidRPr="009906F1" w:rsidRDefault="009906F1" w:rsidP="009906F1">
      <w:pPr>
        <w:jc w:val="both"/>
        <w:rPr>
          <w:rFonts w:ascii="Times New Roman" w:hAnsi="Times New Roman" w:cs="Times New Roman"/>
          <w:sz w:val="26"/>
          <w:szCs w:val="26"/>
        </w:rPr>
      </w:pPr>
      <w:r w:rsidRPr="009906F1">
        <w:rPr>
          <w:rFonts w:ascii="Times New Roman" w:hAnsi="Times New Roman" w:cs="Times New Roman"/>
          <w:sz w:val="26"/>
          <w:szCs w:val="26"/>
        </w:rPr>
        <w:t> </w:t>
      </w:r>
    </w:p>
    <w:p w14:paraId="110E88F1" w14:textId="77777777" w:rsidR="009906F1" w:rsidRPr="009906F1" w:rsidRDefault="009906F1" w:rsidP="009906F1">
      <w:pPr>
        <w:jc w:val="both"/>
        <w:rPr>
          <w:rFonts w:ascii="Times New Roman" w:hAnsi="Times New Roman" w:cs="Times New Roman"/>
          <w:sz w:val="26"/>
          <w:szCs w:val="26"/>
        </w:rPr>
      </w:pPr>
      <w:r w:rsidRPr="009906F1">
        <w:rPr>
          <w:rFonts w:ascii="Times New Roman" w:hAnsi="Times New Roman" w:cs="Times New Roman"/>
          <w:sz w:val="26"/>
          <w:szCs w:val="26"/>
        </w:rPr>
        <w:lastRenderedPageBreak/>
        <w:t xml:space="preserve">El doctor Lora dijo que la decisión se convirtió en una sentencia definitiva y fue notificada a la entidad bancaria estatal, mediante el acto número 1098/2026, el pasado viernes 21 de agosto por el ministerial William Radhames Ortiz Pujols.  </w:t>
      </w:r>
    </w:p>
    <w:p w14:paraId="75A83D12" w14:textId="77777777" w:rsidR="009906F1" w:rsidRPr="009906F1" w:rsidRDefault="009906F1" w:rsidP="009906F1">
      <w:pPr>
        <w:jc w:val="both"/>
        <w:rPr>
          <w:rFonts w:ascii="Times New Roman" w:hAnsi="Times New Roman" w:cs="Times New Roman"/>
          <w:sz w:val="26"/>
          <w:szCs w:val="26"/>
        </w:rPr>
      </w:pPr>
    </w:p>
    <w:p w14:paraId="523BCC3B" w14:textId="77777777" w:rsidR="009906F1" w:rsidRPr="009906F1" w:rsidRDefault="009906F1" w:rsidP="009906F1">
      <w:pPr>
        <w:jc w:val="both"/>
        <w:rPr>
          <w:rFonts w:ascii="Times New Roman" w:hAnsi="Times New Roman" w:cs="Times New Roman"/>
          <w:sz w:val="26"/>
          <w:szCs w:val="26"/>
        </w:rPr>
      </w:pPr>
      <w:r w:rsidRPr="009906F1">
        <w:rPr>
          <w:rFonts w:ascii="Times New Roman" w:hAnsi="Times New Roman" w:cs="Times New Roman"/>
          <w:sz w:val="26"/>
          <w:szCs w:val="26"/>
        </w:rPr>
        <w:t>Se trata de una demanda en recisión de contrato y reparación de daños y perjuicios que interpuso en consorcio Mez Junior-Méndez Cabral en contra del Banco Central que tuvo su origen en la compra de una porción de terreno de cinco mil metros cuadrados dentro del ámbito de la parcela 110-reformada -780-T11 DEL Distrito Catastral, número 1.</w:t>
      </w:r>
    </w:p>
    <w:p w14:paraId="5B16D477" w14:textId="77777777" w:rsidR="009906F1" w:rsidRPr="009906F1" w:rsidRDefault="009906F1" w:rsidP="009906F1">
      <w:pPr>
        <w:jc w:val="both"/>
        <w:rPr>
          <w:rFonts w:ascii="Times New Roman" w:hAnsi="Times New Roman" w:cs="Times New Roman"/>
          <w:sz w:val="26"/>
          <w:szCs w:val="26"/>
        </w:rPr>
      </w:pPr>
      <w:r w:rsidRPr="009906F1">
        <w:rPr>
          <w:rFonts w:ascii="Times New Roman" w:hAnsi="Times New Roman" w:cs="Times New Roman"/>
          <w:sz w:val="26"/>
          <w:szCs w:val="26"/>
        </w:rPr>
        <w:t> </w:t>
      </w:r>
    </w:p>
    <w:p w14:paraId="15E1BBB0" w14:textId="77777777" w:rsidR="009906F1" w:rsidRPr="009906F1" w:rsidRDefault="009906F1" w:rsidP="009906F1">
      <w:pPr>
        <w:jc w:val="both"/>
        <w:rPr>
          <w:rFonts w:ascii="Times New Roman" w:hAnsi="Times New Roman" w:cs="Times New Roman"/>
          <w:sz w:val="26"/>
          <w:szCs w:val="26"/>
        </w:rPr>
      </w:pPr>
      <w:r w:rsidRPr="009906F1">
        <w:rPr>
          <w:rFonts w:ascii="Times New Roman" w:hAnsi="Times New Roman" w:cs="Times New Roman"/>
          <w:sz w:val="26"/>
          <w:szCs w:val="26"/>
        </w:rPr>
        <w:t>El Consorcio recibió los terrenos en dación de pago por los trabajos realizados en la ampliación de la Autopista Duarte por valor de 38 millones 805. 457.90.</w:t>
      </w:r>
    </w:p>
    <w:p w14:paraId="0FEA1C57" w14:textId="77777777" w:rsidR="009906F1" w:rsidRPr="009906F1" w:rsidRDefault="009906F1" w:rsidP="009906F1">
      <w:pPr>
        <w:jc w:val="both"/>
        <w:rPr>
          <w:rFonts w:ascii="Times New Roman" w:hAnsi="Times New Roman" w:cs="Times New Roman"/>
          <w:sz w:val="26"/>
          <w:szCs w:val="26"/>
        </w:rPr>
      </w:pPr>
      <w:r w:rsidRPr="009906F1">
        <w:rPr>
          <w:rFonts w:ascii="Times New Roman" w:hAnsi="Times New Roman" w:cs="Times New Roman"/>
          <w:sz w:val="26"/>
          <w:szCs w:val="26"/>
        </w:rPr>
        <w:t> </w:t>
      </w:r>
    </w:p>
    <w:p w14:paraId="234E016F" w14:textId="77777777" w:rsidR="009906F1" w:rsidRPr="009906F1" w:rsidRDefault="009906F1" w:rsidP="009906F1">
      <w:pPr>
        <w:jc w:val="both"/>
        <w:rPr>
          <w:rFonts w:ascii="Times New Roman" w:hAnsi="Times New Roman" w:cs="Times New Roman"/>
          <w:sz w:val="26"/>
          <w:szCs w:val="26"/>
        </w:rPr>
      </w:pPr>
      <w:r w:rsidRPr="009906F1">
        <w:rPr>
          <w:rFonts w:ascii="Times New Roman" w:hAnsi="Times New Roman" w:cs="Times New Roman"/>
          <w:sz w:val="26"/>
          <w:szCs w:val="26"/>
        </w:rPr>
        <w:t>El BCRD obviando el contrato notarizado y el compromiso asumido desde el 2004 hizo caso omiso a las decisiones de los tribunales y optó por recurrirlas y repartió la totalidad de los terrenos objeto de la transacción con el Estado Dominicano, a grupos empresariales e ingenieros “favoritos”, impidiendo al consorcio el usufructo del terreno.</w:t>
      </w:r>
    </w:p>
    <w:p w14:paraId="0299D246" w14:textId="77777777" w:rsidR="009906F1" w:rsidRPr="009906F1" w:rsidRDefault="009906F1" w:rsidP="009906F1">
      <w:pPr>
        <w:jc w:val="both"/>
        <w:rPr>
          <w:rFonts w:ascii="Times New Roman" w:hAnsi="Times New Roman" w:cs="Times New Roman"/>
          <w:sz w:val="26"/>
          <w:szCs w:val="26"/>
        </w:rPr>
      </w:pPr>
      <w:r w:rsidRPr="009906F1">
        <w:rPr>
          <w:rFonts w:ascii="Times New Roman" w:hAnsi="Times New Roman" w:cs="Times New Roman"/>
          <w:sz w:val="26"/>
          <w:szCs w:val="26"/>
        </w:rPr>
        <w:t> </w:t>
      </w:r>
    </w:p>
    <w:p w14:paraId="62247DD3" w14:textId="77777777" w:rsidR="009906F1" w:rsidRPr="009906F1" w:rsidRDefault="009906F1" w:rsidP="009906F1">
      <w:pPr>
        <w:jc w:val="both"/>
        <w:rPr>
          <w:rFonts w:ascii="Times New Roman" w:hAnsi="Times New Roman" w:cs="Times New Roman"/>
          <w:sz w:val="26"/>
          <w:szCs w:val="26"/>
        </w:rPr>
      </w:pPr>
      <w:r w:rsidRPr="009906F1">
        <w:rPr>
          <w:rFonts w:ascii="Times New Roman" w:hAnsi="Times New Roman" w:cs="Times New Roman"/>
          <w:sz w:val="26"/>
          <w:szCs w:val="26"/>
        </w:rPr>
        <w:t>La decisión que le da ganancia de causa al consorcio fue notificada al Banco Central, al gobernador Héctor Valdez Albilzu, y a sus abogados.</w:t>
      </w:r>
    </w:p>
    <w:p w14:paraId="7F6EF9EE" w14:textId="75C25C34" w:rsidR="009F6307" w:rsidRPr="009906F1" w:rsidRDefault="009F6307" w:rsidP="009906F1">
      <w:pPr>
        <w:jc w:val="both"/>
        <w:rPr>
          <w:sz w:val="26"/>
          <w:szCs w:val="26"/>
        </w:rPr>
      </w:pPr>
    </w:p>
    <w:sectPr w:rsidR="009F6307" w:rsidRPr="009906F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750"/>
    <w:rsid w:val="001209B2"/>
    <w:rsid w:val="00236F3E"/>
    <w:rsid w:val="0026609C"/>
    <w:rsid w:val="00626A41"/>
    <w:rsid w:val="006F6750"/>
    <w:rsid w:val="009906F1"/>
    <w:rsid w:val="009F6307"/>
    <w:rsid w:val="00E47073"/>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8BF8"/>
  <w15:chartTrackingRefBased/>
  <w15:docId w15:val="{83A45289-4C1A-44FE-8C59-9838EAD02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D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675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6F675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F6750"/>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F6750"/>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F6750"/>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F67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67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67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67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6750"/>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6F675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F6750"/>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F6750"/>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F6750"/>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F67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67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67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6750"/>
    <w:rPr>
      <w:rFonts w:eastAsiaTheme="majorEastAsia" w:cstheme="majorBidi"/>
      <w:color w:val="272727" w:themeColor="text1" w:themeTint="D8"/>
    </w:rPr>
  </w:style>
  <w:style w:type="paragraph" w:styleId="Title">
    <w:name w:val="Title"/>
    <w:basedOn w:val="Normal"/>
    <w:next w:val="Normal"/>
    <w:link w:val="TitleChar"/>
    <w:uiPriority w:val="10"/>
    <w:qFormat/>
    <w:rsid w:val="006F67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67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67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67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6750"/>
    <w:pPr>
      <w:spacing w:before="160"/>
      <w:jc w:val="center"/>
    </w:pPr>
    <w:rPr>
      <w:i/>
      <w:iCs/>
      <w:color w:val="404040" w:themeColor="text1" w:themeTint="BF"/>
    </w:rPr>
  </w:style>
  <w:style w:type="character" w:customStyle="1" w:styleId="QuoteChar">
    <w:name w:val="Quote Char"/>
    <w:basedOn w:val="DefaultParagraphFont"/>
    <w:link w:val="Quote"/>
    <w:uiPriority w:val="29"/>
    <w:rsid w:val="006F6750"/>
    <w:rPr>
      <w:i/>
      <w:iCs/>
      <w:color w:val="404040" w:themeColor="text1" w:themeTint="BF"/>
    </w:rPr>
  </w:style>
  <w:style w:type="paragraph" w:styleId="ListParagraph">
    <w:name w:val="List Paragraph"/>
    <w:basedOn w:val="Normal"/>
    <w:uiPriority w:val="34"/>
    <w:qFormat/>
    <w:rsid w:val="006F6750"/>
    <w:pPr>
      <w:ind w:left="720"/>
      <w:contextualSpacing/>
    </w:pPr>
  </w:style>
  <w:style w:type="character" w:styleId="IntenseEmphasis">
    <w:name w:val="Intense Emphasis"/>
    <w:basedOn w:val="DefaultParagraphFont"/>
    <w:uiPriority w:val="21"/>
    <w:qFormat/>
    <w:rsid w:val="006F6750"/>
    <w:rPr>
      <w:i/>
      <w:iCs/>
      <w:color w:val="2E74B5" w:themeColor="accent1" w:themeShade="BF"/>
    </w:rPr>
  </w:style>
  <w:style w:type="paragraph" w:styleId="IntenseQuote">
    <w:name w:val="Intense Quote"/>
    <w:basedOn w:val="Normal"/>
    <w:next w:val="Normal"/>
    <w:link w:val="IntenseQuoteChar"/>
    <w:uiPriority w:val="30"/>
    <w:qFormat/>
    <w:rsid w:val="006F675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F6750"/>
    <w:rPr>
      <w:i/>
      <w:iCs/>
      <w:color w:val="2E74B5" w:themeColor="accent1" w:themeShade="BF"/>
    </w:rPr>
  </w:style>
  <w:style w:type="character" w:styleId="IntenseReference">
    <w:name w:val="Intense Reference"/>
    <w:basedOn w:val="DefaultParagraphFont"/>
    <w:uiPriority w:val="32"/>
    <w:qFormat/>
    <w:rsid w:val="006F6750"/>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833</Words>
  <Characters>4585</Characters>
  <Application>Microsoft Office Word</Application>
  <DocSecurity>0</DocSecurity>
  <Lines>38</Lines>
  <Paragraphs>10</Paragraphs>
  <ScaleCrop>false</ScaleCrop>
  <Company/>
  <LinksUpToDate>false</LinksUpToDate>
  <CharactersWithSpaces>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Nelissa Fanfan Jimenez</dc:creator>
  <cp:keywords/>
  <dc:description/>
  <cp:lastModifiedBy>Nelissa Fanfan Jimenez</cp:lastModifiedBy>
  <cp:revision>2</cp:revision>
  <dcterms:created xsi:type="dcterms:W3CDTF">2026-09-02T15:52:00Z</dcterms:created>
  <dcterms:modified xsi:type="dcterms:W3CDTF">2026-09-02T15:55:00Z</dcterms:modified>
</cp:coreProperties>
</file>